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4DC1" w14:textId="656D767D" w:rsidR="00693BFC" w:rsidRDefault="00693BFC" w:rsidP="00693BF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41683352" wp14:editId="5585B5DE">
            <wp:extent cx="2959100" cy="545663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385" cy="55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90FF" w14:textId="77777777" w:rsidR="00693BFC" w:rsidRDefault="00693BFC" w:rsidP="00E81306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4A0001BE" w14:textId="4454DC59" w:rsidR="00E81306" w:rsidRPr="00693BFC" w:rsidRDefault="00BD5E03" w:rsidP="00693BF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Prenexus Health</w:t>
      </w:r>
      <w:r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</w:rPr>
        <w:t>®</w:t>
      </w:r>
      <w:r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Helps </w:t>
      </w:r>
      <w:r w:rsidR="00E81306"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Food, </w:t>
      </w:r>
      <w:r w:rsidR="00693BFC"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Beverage,</w:t>
      </w:r>
      <w:r w:rsidR="00E81306"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and </w:t>
      </w:r>
      <w:r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 w:rsidR="00E81306"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upplement </w:t>
      </w:r>
      <w:r w:rsidR="00693BFC"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M</w:t>
      </w:r>
      <w:r w:rsidR="00E81306"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anufacturers </w:t>
      </w:r>
      <w:r w:rsidRPr="00693B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Pick Right Prebiotic Ingredient</w:t>
      </w:r>
    </w:p>
    <w:p w14:paraId="3E406550" w14:textId="477B89D9" w:rsidR="00E81306" w:rsidRPr="00BD5E03" w:rsidRDefault="00E81306" w:rsidP="00E81306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536EDD5A" w14:textId="57FFE6E6" w:rsidR="005701B8" w:rsidRPr="00693BFC" w:rsidRDefault="00420164" w:rsidP="005701B8">
      <w:pPr>
        <w:rPr>
          <w:rFonts w:ascii="Times New Roman" w:eastAsia="Times New Roman" w:hAnsi="Times New Roman" w:cs="Times New Roman"/>
        </w:rPr>
      </w:pPr>
      <w:r w:rsidRPr="00693BFC">
        <w:rPr>
          <w:rFonts w:ascii="Times New Roman" w:hAnsi="Times New Roman" w:cs="Times New Roman"/>
          <w:color w:val="000000" w:themeColor="text1"/>
        </w:rPr>
        <w:t xml:space="preserve">Gilbert, AZ, </w:t>
      </w:r>
      <w:r w:rsidR="00693BFC">
        <w:rPr>
          <w:rFonts w:ascii="Times New Roman" w:hAnsi="Times New Roman" w:cs="Times New Roman"/>
          <w:color w:val="000000" w:themeColor="text1"/>
        </w:rPr>
        <w:t>July 1</w:t>
      </w:r>
      <w:r w:rsidR="00342DFF">
        <w:rPr>
          <w:rFonts w:ascii="Times New Roman" w:hAnsi="Times New Roman" w:cs="Times New Roman"/>
          <w:color w:val="000000" w:themeColor="text1"/>
        </w:rPr>
        <w:t>3</w:t>
      </w:r>
      <w:r w:rsidR="00693BFC">
        <w:rPr>
          <w:rFonts w:ascii="Times New Roman" w:hAnsi="Times New Roman" w:cs="Times New Roman"/>
          <w:color w:val="000000" w:themeColor="text1"/>
        </w:rPr>
        <w:t xml:space="preserve">, 2022 </w:t>
      </w:r>
      <w:r w:rsidR="005701B8">
        <w:rPr>
          <w:rFonts w:ascii="Times New Roman" w:hAnsi="Times New Roman" w:cs="Times New Roman"/>
          <w:color w:val="000000" w:themeColor="text1"/>
        </w:rPr>
        <w:t>–</w:t>
      </w:r>
      <w:r w:rsidR="00342DFF">
        <w:rPr>
          <w:rFonts w:ascii="Times New Roman" w:hAnsi="Times New Roman" w:cs="Times New Roman"/>
          <w:color w:val="000000" w:themeColor="text1"/>
        </w:rPr>
        <w:t xml:space="preserve"> </w:t>
      </w:r>
      <w:r w:rsidR="005701B8" w:rsidRPr="00693BFC">
        <w:rPr>
          <w:rFonts w:ascii="Times New Roman" w:eastAsia="Times New Roman" w:hAnsi="Times New Roman" w:cs="Times New Roman"/>
        </w:rPr>
        <w:t>Prenexus Health</w:t>
      </w:r>
      <w:r w:rsidR="005701B8" w:rsidRPr="00693BFC">
        <w:rPr>
          <w:rFonts w:ascii="Times New Roman" w:eastAsia="Times New Roman" w:hAnsi="Times New Roman" w:cs="Times New Roman"/>
          <w:color w:val="040404"/>
          <w:vertAlign w:val="superscript"/>
        </w:rPr>
        <w:t>®</w:t>
      </w:r>
      <w:r w:rsidR="007C4239">
        <w:rPr>
          <w:rFonts w:ascii="Times New Roman" w:eastAsia="Times New Roman" w:hAnsi="Times New Roman" w:cs="Times New Roman"/>
          <w:color w:val="050505"/>
        </w:rPr>
        <w:t xml:space="preserve"> is </w:t>
      </w:r>
      <w:r w:rsidR="005701B8" w:rsidRPr="00693BFC">
        <w:rPr>
          <w:rFonts w:ascii="Times New Roman" w:eastAsia="Times New Roman" w:hAnsi="Times New Roman" w:cs="Times New Roman"/>
        </w:rPr>
        <w:t>mak</w:t>
      </w:r>
      <w:r w:rsidR="007C4239">
        <w:rPr>
          <w:rFonts w:ascii="Times New Roman" w:eastAsia="Times New Roman" w:hAnsi="Times New Roman" w:cs="Times New Roman"/>
        </w:rPr>
        <w:t>ing</w:t>
      </w:r>
      <w:r w:rsidR="005701B8" w:rsidRPr="00693BFC">
        <w:rPr>
          <w:rFonts w:ascii="Times New Roman" w:eastAsia="Times New Roman" w:hAnsi="Times New Roman" w:cs="Times New Roman"/>
        </w:rPr>
        <w:t xml:space="preserve"> it easy for manufacturers to </w:t>
      </w:r>
      <w:r w:rsidR="00342DFF">
        <w:rPr>
          <w:rFonts w:ascii="Times New Roman" w:eastAsia="Times New Roman" w:hAnsi="Times New Roman" w:cs="Times New Roman"/>
        </w:rPr>
        <w:t>choose the right prebiotic</w:t>
      </w:r>
      <w:r w:rsidR="005701B8" w:rsidRPr="00693BFC">
        <w:rPr>
          <w:rFonts w:ascii="Times New Roman" w:eastAsia="Times New Roman" w:hAnsi="Times New Roman" w:cs="Times New Roman"/>
        </w:rPr>
        <w:t xml:space="preserve"> ingredients.</w:t>
      </w:r>
    </w:p>
    <w:p w14:paraId="6CA44D17" w14:textId="5F2E9B69" w:rsidR="005701B8" w:rsidRDefault="005701B8" w:rsidP="00E81306">
      <w:pPr>
        <w:rPr>
          <w:rFonts w:ascii="Times New Roman" w:hAnsi="Times New Roman" w:cs="Times New Roman"/>
          <w:color w:val="000000" w:themeColor="text1"/>
        </w:rPr>
      </w:pPr>
    </w:p>
    <w:p w14:paraId="4E2C46AC" w14:textId="6ECA2FDC" w:rsidR="005701B8" w:rsidRDefault="005701B8" w:rsidP="00E813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50505"/>
        </w:rPr>
        <w:t>The</w:t>
      </w:r>
      <w:r w:rsidRPr="00693BFC">
        <w:rPr>
          <w:rFonts w:ascii="Times New Roman" w:eastAsia="Times New Roman" w:hAnsi="Times New Roman" w:cs="Times New Roman"/>
          <w:color w:val="050505"/>
        </w:rPr>
        <w:t xml:space="preserve"> leading manufacturer of organic prebiotic ingredients for the supplement, food, and beverage industr</w:t>
      </w:r>
      <w:r w:rsidR="00342DFF">
        <w:rPr>
          <w:rFonts w:ascii="Times New Roman" w:eastAsia="Times New Roman" w:hAnsi="Times New Roman" w:cs="Times New Roman"/>
          <w:color w:val="050505"/>
        </w:rPr>
        <w:t>y</w:t>
      </w:r>
      <w:r>
        <w:rPr>
          <w:rFonts w:ascii="Times New Roman" w:eastAsia="Times New Roman" w:hAnsi="Times New Roman" w:cs="Times New Roman"/>
        </w:rPr>
        <w:t xml:space="preserve"> has released an infographic</w:t>
      </w:r>
      <w:r w:rsidR="00AA2C4A">
        <w:rPr>
          <w:rFonts w:ascii="Times New Roman" w:eastAsia="Times New Roman" w:hAnsi="Times New Roman" w:cs="Times New Roman"/>
        </w:rPr>
        <w:t xml:space="preserve"> explaining </w:t>
      </w:r>
      <w:r w:rsidR="00342DFF">
        <w:rPr>
          <w:rFonts w:ascii="Times New Roman" w:eastAsia="Times New Roman" w:hAnsi="Times New Roman" w:cs="Times New Roman"/>
        </w:rPr>
        <w:t>the distinctions between the many options available to formulators.</w:t>
      </w:r>
    </w:p>
    <w:p w14:paraId="5A4A759F" w14:textId="758F35A4" w:rsidR="00E81306" w:rsidRPr="00693BFC" w:rsidRDefault="00E81306" w:rsidP="00E81306">
      <w:pPr>
        <w:rPr>
          <w:rFonts w:ascii="Times New Roman" w:hAnsi="Times New Roman" w:cs="Times New Roman"/>
        </w:rPr>
      </w:pPr>
    </w:p>
    <w:p w14:paraId="50DA5766" w14:textId="3B72F92C" w:rsidR="00AA2C4A" w:rsidRPr="005701B8" w:rsidRDefault="00E81306" w:rsidP="00AA2C4A">
      <w:pPr>
        <w:rPr>
          <w:rFonts w:ascii="Times New Roman" w:hAnsi="Times New Roman" w:cs="Times New Roman"/>
          <w:color w:val="000000" w:themeColor="text1"/>
        </w:rPr>
      </w:pPr>
      <w:r w:rsidRPr="00693BFC">
        <w:rPr>
          <w:rFonts w:ascii="Times New Roman" w:eastAsia="Times New Roman" w:hAnsi="Times New Roman" w:cs="Times New Roman"/>
        </w:rPr>
        <w:t>Non-digestible ingredients used by the body to support and feed the “good” gut bacteria, prebioti</w:t>
      </w:r>
      <w:r w:rsidR="00342DFF">
        <w:rPr>
          <w:rFonts w:ascii="Times New Roman" w:eastAsia="Times New Roman" w:hAnsi="Times New Roman" w:cs="Times New Roman"/>
        </w:rPr>
        <w:t>c ingredients</w:t>
      </w:r>
      <w:r w:rsidRPr="00693BFC">
        <w:rPr>
          <w:rFonts w:ascii="Times New Roman" w:eastAsia="Times New Roman" w:hAnsi="Times New Roman" w:cs="Times New Roman"/>
        </w:rPr>
        <w:t xml:space="preserve"> are mostly carbohydrates derived from a variety of sources including corn, chicory and sugar cane. </w:t>
      </w:r>
      <w:r w:rsidR="00AA2C4A" w:rsidRPr="00693BFC">
        <w:rPr>
          <w:rFonts w:ascii="Times New Roman" w:hAnsi="Times New Roman" w:cs="Times New Roman"/>
          <w:color w:val="000000" w:themeColor="text1"/>
        </w:rPr>
        <w:t xml:space="preserve">With the global prebiotic market expected to reach $8.34 Billion by 2026 (CAGR of 10.1%), </w:t>
      </w:r>
      <w:r w:rsidR="00AA2C4A" w:rsidRPr="00693BFC">
        <w:rPr>
          <w:rFonts w:ascii="Times New Roman" w:hAnsi="Times New Roman" w:cs="Times New Roman"/>
        </w:rPr>
        <w:t xml:space="preserve">formulation of prebiotic products is surging. </w:t>
      </w:r>
    </w:p>
    <w:p w14:paraId="56ED7A6B" w14:textId="6F7E35AE" w:rsidR="003715D0" w:rsidRPr="00693BFC" w:rsidRDefault="003715D0" w:rsidP="00420164">
      <w:pPr>
        <w:rPr>
          <w:rFonts w:ascii="Times New Roman" w:eastAsia="Times New Roman" w:hAnsi="Times New Roman" w:cs="Times New Roman"/>
        </w:rPr>
      </w:pPr>
    </w:p>
    <w:p w14:paraId="7F12818B" w14:textId="44CDEBB2" w:rsidR="00BD5E03" w:rsidRPr="00693BFC" w:rsidRDefault="003715D0" w:rsidP="00420164">
      <w:pPr>
        <w:rPr>
          <w:rFonts w:ascii="Times New Roman" w:eastAsia="Times New Roman" w:hAnsi="Times New Roman" w:cs="Times New Roman"/>
        </w:rPr>
      </w:pPr>
      <w:r w:rsidRPr="00693BFC">
        <w:rPr>
          <w:rFonts w:ascii="Times New Roman" w:eastAsia="Times New Roman" w:hAnsi="Times New Roman" w:cs="Times New Roman"/>
        </w:rPr>
        <w:t xml:space="preserve">Differences </w:t>
      </w:r>
      <w:r w:rsidR="00342DFF">
        <w:rPr>
          <w:rFonts w:ascii="Times New Roman" w:eastAsia="Times New Roman" w:hAnsi="Times New Roman" w:cs="Times New Roman"/>
        </w:rPr>
        <w:t>between</w:t>
      </w:r>
      <w:r w:rsidRPr="00693BFC">
        <w:rPr>
          <w:rFonts w:ascii="Times New Roman" w:eastAsia="Times New Roman" w:hAnsi="Times New Roman" w:cs="Times New Roman"/>
        </w:rPr>
        <w:t xml:space="preserve"> prebiotic ingredients can affect formulation, </w:t>
      </w:r>
      <w:r w:rsidR="00693BFC" w:rsidRPr="00693BFC">
        <w:rPr>
          <w:rFonts w:ascii="Times New Roman" w:eastAsia="Times New Roman" w:hAnsi="Times New Roman" w:cs="Times New Roman"/>
        </w:rPr>
        <w:t>efficacy,</w:t>
      </w:r>
      <w:r w:rsidRPr="00693BFC">
        <w:rPr>
          <w:rFonts w:ascii="Times New Roman" w:eastAsia="Times New Roman" w:hAnsi="Times New Roman" w:cs="Times New Roman"/>
        </w:rPr>
        <w:t xml:space="preserve"> and product claims. </w:t>
      </w:r>
      <w:r w:rsidR="00BD5E03" w:rsidRPr="00693BFC">
        <w:rPr>
          <w:rFonts w:ascii="Times New Roman" w:eastAsia="Times New Roman" w:hAnsi="Times New Roman" w:cs="Times New Roman"/>
        </w:rPr>
        <w:t xml:space="preserve">The free infographic offers a clear road map to understanding these differences. </w:t>
      </w:r>
    </w:p>
    <w:p w14:paraId="2B471CF2" w14:textId="622E2A22" w:rsidR="00E81306" w:rsidRPr="00693BFC" w:rsidRDefault="00E81306" w:rsidP="00E81306">
      <w:pPr>
        <w:textAlignment w:val="center"/>
        <w:rPr>
          <w:rFonts w:ascii="Times New Roman" w:eastAsia="Times New Roman" w:hAnsi="Times New Roman" w:cs="Times New Roman"/>
        </w:rPr>
      </w:pPr>
    </w:p>
    <w:p w14:paraId="2013395D" w14:textId="0335DEAD" w:rsidR="00E81306" w:rsidRPr="00693BFC" w:rsidRDefault="00E81306" w:rsidP="002D6D21">
      <w:pPr>
        <w:rPr>
          <w:rFonts w:ascii="Times New Roman" w:eastAsia="Times New Roman" w:hAnsi="Times New Roman" w:cs="Times New Roman"/>
        </w:rPr>
      </w:pPr>
      <w:r w:rsidRPr="00693BFC">
        <w:rPr>
          <w:rFonts w:ascii="Times New Roman" w:eastAsia="Times New Roman" w:hAnsi="Times New Roman" w:cs="Times New Roman"/>
        </w:rPr>
        <w:t>“</w:t>
      </w:r>
      <w:r w:rsidR="00AA2C4A" w:rsidRPr="00693BFC">
        <w:rPr>
          <w:rFonts w:ascii="Times New Roman" w:hAnsi="Times New Roman" w:cs="Times New Roman"/>
        </w:rPr>
        <w:t>For success in this burgeoning market, it’s vital that manufacturers understand the differences among prebiotic ingredients before they formulate</w:t>
      </w:r>
      <w:r w:rsidR="00342DFF">
        <w:rPr>
          <w:rFonts w:ascii="Times New Roman" w:hAnsi="Times New Roman" w:cs="Times New Roman"/>
        </w:rPr>
        <w:t>,”</w:t>
      </w:r>
      <w:r w:rsidR="00AA2C4A" w:rsidRPr="00693BFC">
        <w:rPr>
          <w:rFonts w:ascii="Times New Roman" w:hAnsi="Times New Roman" w:cs="Times New Roman"/>
        </w:rPr>
        <w:t xml:space="preserve"> </w:t>
      </w:r>
      <w:r w:rsidR="00AA2C4A" w:rsidRPr="00693BFC">
        <w:rPr>
          <w:rFonts w:ascii="Times New Roman" w:eastAsia="Times New Roman" w:hAnsi="Times New Roman" w:cs="Times New Roman"/>
        </w:rPr>
        <w:t>said Michael Bush, CEO of Prenexus Health.</w:t>
      </w:r>
      <w:r w:rsidR="00342DFF">
        <w:rPr>
          <w:rFonts w:ascii="Times New Roman" w:eastAsia="Times New Roman" w:hAnsi="Times New Roman" w:cs="Times New Roman"/>
        </w:rPr>
        <w:t xml:space="preserve"> “</w:t>
      </w:r>
      <w:r w:rsidRPr="00693BFC">
        <w:rPr>
          <w:rFonts w:ascii="Times New Roman" w:eastAsia="Times New Roman" w:hAnsi="Times New Roman" w:cs="Times New Roman"/>
        </w:rPr>
        <w:t xml:space="preserve">We want </w:t>
      </w:r>
      <w:r w:rsidR="00055452">
        <w:rPr>
          <w:rFonts w:ascii="Times New Roman" w:eastAsia="Times New Roman" w:hAnsi="Times New Roman" w:cs="Times New Roman"/>
        </w:rPr>
        <w:t>them</w:t>
      </w:r>
      <w:r w:rsidR="00055452" w:rsidRPr="00693BFC">
        <w:rPr>
          <w:rFonts w:ascii="Times New Roman" w:eastAsia="Times New Roman" w:hAnsi="Times New Roman" w:cs="Times New Roman"/>
        </w:rPr>
        <w:t xml:space="preserve"> </w:t>
      </w:r>
      <w:r w:rsidRPr="00693BFC">
        <w:rPr>
          <w:rFonts w:ascii="Times New Roman" w:eastAsia="Times New Roman" w:hAnsi="Times New Roman" w:cs="Times New Roman"/>
        </w:rPr>
        <w:t>to understand that there are significant differences among the prebiotic ingredients available</w:t>
      </w:r>
      <w:r w:rsidR="00420164" w:rsidRPr="00693BFC">
        <w:rPr>
          <w:rFonts w:ascii="Times New Roman" w:eastAsia="Times New Roman" w:hAnsi="Times New Roman" w:cs="Times New Roman"/>
        </w:rPr>
        <w:t xml:space="preserve"> so they can choose which is the best fit for their product</w:t>
      </w:r>
      <w:r w:rsidR="00342DFF">
        <w:rPr>
          <w:rFonts w:ascii="Times New Roman" w:eastAsia="Times New Roman" w:hAnsi="Times New Roman" w:cs="Times New Roman"/>
        </w:rPr>
        <w:t xml:space="preserve">. </w:t>
      </w:r>
      <w:r w:rsidR="003715D0" w:rsidRPr="00693BFC">
        <w:rPr>
          <w:rFonts w:ascii="Times New Roman" w:eastAsia="Times New Roman" w:hAnsi="Times New Roman" w:cs="Times New Roman"/>
        </w:rPr>
        <w:t xml:space="preserve">Education has always been a core </w:t>
      </w:r>
      <w:r w:rsidR="00693BFC" w:rsidRPr="00693BFC">
        <w:rPr>
          <w:rFonts w:ascii="Times New Roman" w:eastAsia="Times New Roman" w:hAnsi="Times New Roman" w:cs="Times New Roman"/>
        </w:rPr>
        <w:t>principle</w:t>
      </w:r>
      <w:r w:rsidR="003715D0" w:rsidRPr="00693BFC">
        <w:rPr>
          <w:rFonts w:ascii="Times New Roman" w:eastAsia="Times New Roman" w:hAnsi="Times New Roman" w:cs="Times New Roman"/>
        </w:rPr>
        <w:t xml:space="preserve"> at Prenexus</w:t>
      </w:r>
      <w:r w:rsidR="00693BFC" w:rsidRPr="00693BFC">
        <w:rPr>
          <w:rFonts w:ascii="Times New Roman" w:eastAsia="Times New Roman" w:hAnsi="Times New Roman" w:cs="Times New Roman"/>
        </w:rPr>
        <w:t xml:space="preserve"> Health</w:t>
      </w:r>
      <w:r w:rsidR="003715D0" w:rsidRPr="00693BFC">
        <w:rPr>
          <w:rFonts w:ascii="Times New Roman" w:eastAsia="Times New Roman" w:hAnsi="Times New Roman" w:cs="Times New Roman"/>
        </w:rPr>
        <w:t>, and this infographic is another example of that.”</w:t>
      </w:r>
    </w:p>
    <w:p w14:paraId="633B86BC" w14:textId="7DACBCF9" w:rsidR="00693BFC" w:rsidRPr="00693BFC" w:rsidRDefault="00693BFC" w:rsidP="00E81306">
      <w:pPr>
        <w:textAlignment w:val="center"/>
        <w:rPr>
          <w:rFonts w:ascii="Times New Roman" w:eastAsia="Times New Roman" w:hAnsi="Times New Roman" w:cs="Times New Roman"/>
        </w:rPr>
      </w:pPr>
    </w:p>
    <w:p w14:paraId="66DAA520" w14:textId="44AC475F" w:rsidR="00693BFC" w:rsidRPr="00693BFC" w:rsidRDefault="00693BFC" w:rsidP="00693BFC">
      <w:pPr>
        <w:rPr>
          <w:rFonts w:ascii="Times New Roman" w:hAnsi="Times New Roman" w:cs="Times New Roman"/>
        </w:rPr>
      </w:pPr>
      <w:r w:rsidRPr="00693BFC">
        <w:rPr>
          <w:rFonts w:ascii="Times New Roman" w:hAnsi="Times New Roman" w:cs="Times New Roman"/>
        </w:rPr>
        <w:t xml:space="preserve">Download the </w:t>
      </w:r>
      <w:hyperlink r:id="rId10" w:history="1">
        <w:r w:rsidR="00055452" w:rsidRPr="00693BFC">
          <w:rPr>
            <w:rStyle w:val="Hyperlink"/>
            <w:rFonts w:ascii="Times New Roman" w:hAnsi="Times New Roman" w:cs="Times New Roman"/>
          </w:rPr>
          <w:t>free</w:t>
        </w:r>
        <w:r w:rsidR="00055452">
          <w:rPr>
            <w:rStyle w:val="Hyperlink"/>
            <w:rFonts w:ascii="Times New Roman" w:hAnsi="Times New Roman" w:cs="Times New Roman"/>
          </w:rPr>
          <w:t xml:space="preserve"> infographic </w:t>
        </w:r>
        <w:r w:rsidR="00055452" w:rsidRPr="00693BFC">
          <w:rPr>
            <w:rStyle w:val="Hyperlink"/>
            <w:rFonts w:ascii="Times New Roman" w:hAnsi="Times New Roman" w:cs="Times New Roman"/>
          </w:rPr>
          <w:t>here</w:t>
        </w:r>
      </w:hyperlink>
      <w:r w:rsidRPr="00693BFC">
        <w:rPr>
          <w:rFonts w:ascii="Times New Roman" w:hAnsi="Times New Roman" w:cs="Times New Roman"/>
        </w:rPr>
        <w:t xml:space="preserve">. </w:t>
      </w:r>
    </w:p>
    <w:p w14:paraId="46B0D174" w14:textId="08602490" w:rsidR="00BD5E03" w:rsidRPr="00693BFC" w:rsidRDefault="00BD5E03" w:rsidP="00E81306">
      <w:pPr>
        <w:textAlignment w:val="center"/>
        <w:rPr>
          <w:rFonts w:ascii="Times New Roman" w:eastAsia="Times New Roman" w:hAnsi="Times New Roman" w:cs="Times New Roman"/>
        </w:rPr>
      </w:pPr>
    </w:p>
    <w:p w14:paraId="12B14E5E" w14:textId="5D2946C9" w:rsidR="003715D0" w:rsidRPr="00693BFC" w:rsidRDefault="003715D0" w:rsidP="00BD5E03">
      <w:pPr>
        <w:textAlignment w:val="center"/>
        <w:rPr>
          <w:rFonts w:ascii="Times New Roman" w:eastAsia="Times New Roman" w:hAnsi="Times New Roman" w:cs="Times New Roman"/>
        </w:rPr>
      </w:pPr>
      <w:r w:rsidRPr="00693BFC">
        <w:rPr>
          <w:rFonts w:ascii="Times New Roman" w:eastAsia="Times New Roman" w:hAnsi="Times New Roman" w:cs="Times New Roman"/>
          <w:color w:val="080808"/>
        </w:rPr>
        <w:t xml:space="preserve">For additional information and media inquiries, please contact Erin Miller, Prenexus Health Director of Marketing at </w:t>
      </w:r>
      <w:hyperlink r:id="rId11" w:history="1">
        <w:r w:rsidRPr="00693BFC">
          <w:rPr>
            <w:rFonts w:ascii="Times New Roman" w:eastAsia="Times New Roman" w:hAnsi="Times New Roman" w:cs="Times New Roman"/>
            <w:color w:val="080808"/>
          </w:rPr>
          <w:t>emiller@prenexushealth.com</w:t>
        </w:r>
      </w:hyperlink>
      <w:r w:rsidRPr="00693BFC">
        <w:rPr>
          <w:rFonts w:ascii="Times New Roman" w:eastAsia="Times New Roman" w:hAnsi="Times New Roman" w:cs="Times New Roman"/>
          <w:color w:val="080808"/>
        </w:rPr>
        <w:t xml:space="preserve"> or by phone at (216) 538-9633.</w:t>
      </w:r>
    </w:p>
    <w:p w14:paraId="4F4EDA6C" w14:textId="1F1E3169" w:rsidR="00E81306" w:rsidRPr="00693BFC" w:rsidRDefault="00E81306" w:rsidP="00E81306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21DB3848" w14:textId="77777777" w:rsidR="00693BFC" w:rsidRPr="00693BFC" w:rsidRDefault="00693BFC" w:rsidP="00693BFC">
      <w:pPr>
        <w:pStyle w:val="NormalWeb"/>
        <w:spacing w:before="0" w:beforeAutospacing="0" w:after="0" w:afterAutospacing="0"/>
        <w:rPr>
          <w:color w:val="000000" w:themeColor="text1"/>
        </w:rPr>
      </w:pPr>
      <w:r w:rsidRPr="00693BFC">
        <w:rPr>
          <w:color w:val="000000" w:themeColor="text1"/>
        </w:rPr>
        <w:t>#</w:t>
      </w:r>
    </w:p>
    <w:p w14:paraId="720AEBCF" w14:textId="77777777" w:rsidR="00693BFC" w:rsidRPr="00693BFC" w:rsidRDefault="00693BFC" w:rsidP="00693BF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2805533F" w14:textId="6B5AF4D7" w:rsidR="00693BFC" w:rsidRPr="00693BFC" w:rsidRDefault="00693BFC" w:rsidP="00693BFC">
      <w:pPr>
        <w:pStyle w:val="NormalWeb"/>
        <w:spacing w:before="0" w:beforeAutospacing="0" w:after="0" w:afterAutospacing="0"/>
        <w:rPr>
          <w:rStyle w:val="apple-converted-space"/>
          <w:color w:val="000000" w:themeColor="text1"/>
        </w:rPr>
      </w:pPr>
      <w:r w:rsidRPr="00693BFC">
        <w:rPr>
          <w:b/>
          <w:bCs/>
          <w:color w:val="000000" w:themeColor="text1"/>
        </w:rPr>
        <w:t>About Prenexus Health</w:t>
      </w:r>
      <w:r w:rsidRPr="00693BFC">
        <w:rPr>
          <w:b/>
          <w:bCs/>
          <w:color w:val="000000" w:themeColor="text1"/>
        </w:rPr>
        <w:br/>
      </w:r>
      <w:r w:rsidRPr="00693BFC">
        <w:rPr>
          <w:color w:val="000000" w:themeColor="text1"/>
        </w:rPr>
        <w:t>Prenexus Health is an innovative leader in the development of scientifically based and clinically researched prebiotics. Based in</w:t>
      </w:r>
      <w:r w:rsidRPr="00693BFC">
        <w:rPr>
          <w:rStyle w:val="apple-converted-space"/>
          <w:color w:val="000000" w:themeColor="text1"/>
        </w:rPr>
        <w:t> </w:t>
      </w:r>
      <w:r w:rsidRPr="00693BFC">
        <w:rPr>
          <w:rStyle w:val="xn-location"/>
          <w:color w:val="000000" w:themeColor="text1"/>
        </w:rPr>
        <w:t>Gilbert, Arizona</w:t>
      </w:r>
      <w:r w:rsidRPr="00693BFC">
        <w:rPr>
          <w:color w:val="000000" w:themeColor="text1"/>
        </w:rPr>
        <w:t>, Prenexus Health's mission is to promote health and wellness for all people through consumer education, leading-edge research and development, and the responsible production of branded, clean label, certified organic prebiotic ingredients for dietary supplement, food and beverage products.</w:t>
      </w:r>
    </w:p>
    <w:p w14:paraId="6F5752DA" w14:textId="77777777" w:rsidR="00693BFC" w:rsidRPr="00693BFC" w:rsidRDefault="00693BFC" w:rsidP="00693BFC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B08FB44" w14:textId="54FE2942" w:rsidR="00E81306" w:rsidRPr="00693BFC" w:rsidRDefault="00693BFC" w:rsidP="00693BFC">
      <w:pPr>
        <w:pStyle w:val="NormalWeb"/>
        <w:spacing w:before="0" w:beforeAutospacing="0" w:after="0" w:afterAutospacing="0"/>
        <w:rPr>
          <w:color w:val="000000" w:themeColor="text1"/>
        </w:rPr>
      </w:pPr>
      <w:r w:rsidRPr="00693BFC">
        <w:rPr>
          <w:color w:val="000000" w:themeColor="text1"/>
        </w:rPr>
        <w:t>Prenexus' flagship ingredient, PreneXOS</w:t>
      </w:r>
      <w:r w:rsidRPr="00693BFC">
        <w:rPr>
          <w:color w:val="000000" w:themeColor="text1"/>
          <w:vertAlign w:val="superscript"/>
        </w:rPr>
        <w:t>®</w:t>
      </w:r>
      <w:r w:rsidRPr="00693BFC">
        <w:rPr>
          <w:color w:val="000000" w:themeColor="text1"/>
        </w:rPr>
        <w:t xml:space="preserve"> is a xylooligosaccharide (XOS) prebiotic and is the only domestically produced organic XOS on the market. It is derived from high-fiber sugarcane grown in the Imperial Valley of</w:t>
      </w:r>
      <w:r w:rsidRPr="00693BFC">
        <w:rPr>
          <w:rStyle w:val="apple-converted-space"/>
          <w:color w:val="000000" w:themeColor="text1"/>
        </w:rPr>
        <w:t> </w:t>
      </w:r>
      <w:r w:rsidRPr="00693BFC">
        <w:rPr>
          <w:rStyle w:val="xn-location"/>
          <w:color w:val="000000" w:themeColor="text1"/>
        </w:rPr>
        <w:t>California</w:t>
      </w:r>
      <w:r w:rsidRPr="00693BFC">
        <w:rPr>
          <w:color w:val="000000" w:themeColor="text1"/>
        </w:rPr>
        <w:t>, following sustainable and environmental farming practices. PreneXOS has the ability to selectively feed "friendly" bacteria, at a low-effective inclusion rate.</w:t>
      </w:r>
    </w:p>
    <w:sectPr w:rsidR="00E81306" w:rsidRPr="00693BFC" w:rsidSect="00693BFC">
      <w:pgSz w:w="12240" w:h="15840"/>
      <w:pgMar w:top="5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5785" w14:textId="77777777" w:rsidR="005578E6" w:rsidRDefault="005578E6" w:rsidP="00E81306">
      <w:r>
        <w:separator/>
      </w:r>
    </w:p>
  </w:endnote>
  <w:endnote w:type="continuationSeparator" w:id="0">
    <w:p w14:paraId="7566FE09" w14:textId="77777777" w:rsidR="005578E6" w:rsidRDefault="005578E6" w:rsidP="00E8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15CB" w14:textId="77777777" w:rsidR="005578E6" w:rsidRDefault="005578E6" w:rsidP="00E81306">
      <w:r>
        <w:separator/>
      </w:r>
    </w:p>
  </w:footnote>
  <w:footnote w:type="continuationSeparator" w:id="0">
    <w:p w14:paraId="20783EC0" w14:textId="77777777" w:rsidR="005578E6" w:rsidRDefault="005578E6" w:rsidP="00E8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84F5F"/>
    <w:multiLevelType w:val="hybridMultilevel"/>
    <w:tmpl w:val="8C12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06"/>
    <w:rsid w:val="00055452"/>
    <w:rsid w:val="00071E03"/>
    <w:rsid w:val="00111D69"/>
    <w:rsid w:val="00113FF7"/>
    <w:rsid w:val="001E5F35"/>
    <w:rsid w:val="002B75DA"/>
    <w:rsid w:val="002D6D21"/>
    <w:rsid w:val="00342DFF"/>
    <w:rsid w:val="00345A1F"/>
    <w:rsid w:val="003715D0"/>
    <w:rsid w:val="00420164"/>
    <w:rsid w:val="0048691D"/>
    <w:rsid w:val="005578E6"/>
    <w:rsid w:val="005701B8"/>
    <w:rsid w:val="005D691C"/>
    <w:rsid w:val="00693BFC"/>
    <w:rsid w:val="00781954"/>
    <w:rsid w:val="007C4239"/>
    <w:rsid w:val="0090672B"/>
    <w:rsid w:val="00AA2C4A"/>
    <w:rsid w:val="00B419F4"/>
    <w:rsid w:val="00BB502D"/>
    <w:rsid w:val="00BD5E03"/>
    <w:rsid w:val="00D0503C"/>
    <w:rsid w:val="00D160BC"/>
    <w:rsid w:val="00D26D5D"/>
    <w:rsid w:val="00E81306"/>
    <w:rsid w:val="00F05A83"/>
    <w:rsid w:val="00F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C603"/>
  <w15:chartTrackingRefBased/>
  <w15:docId w15:val="{3FBF9C83-98AA-264E-BE33-23341E1E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13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E81306"/>
  </w:style>
  <w:style w:type="paragraph" w:styleId="NormalWeb">
    <w:name w:val="Normal (Web)"/>
    <w:basedOn w:val="Normal"/>
    <w:uiPriority w:val="99"/>
    <w:unhideWhenUsed/>
    <w:rsid w:val="00E813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13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81306"/>
  </w:style>
  <w:style w:type="character" w:styleId="Strong">
    <w:name w:val="Strong"/>
    <w:basedOn w:val="DefaultParagraphFont"/>
    <w:uiPriority w:val="22"/>
    <w:qFormat/>
    <w:rsid w:val="00E81306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3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13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13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81306"/>
    <w:pPr>
      <w:ind w:left="720"/>
      <w:contextualSpacing/>
    </w:pPr>
  </w:style>
  <w:style w:type="character" w:customStyle="1" w:styleId="sqsrte-text-color--custom">
    <w:name w:val="sqsrte-text-color--custom"/>
    <w:basedOn w:val="DefaultParagraphFont"/>
    <w:rsid w:val="00420164"/>
  </w:style>
  <w:style w:type="character" w:customStyle="1" w:styleId="xn-location">
    <w:name w:val="xn-location"/>
    <w:basedOn w:val="DefaultParagraphFont"/>
    <w:rsid w:val="00693BFC"/>
  </w:style>
  <w:style w:type="character" w:styleId="FollowedHyperlink">
    <w:name w:val="FollowedHyperlink"/>
    <w:basedOn w:val="DefaultParagraphFont"/>
    <w:uiPriority w:val="99"/>
    <w:semiHidden/>
    <w:unhideWhenUsed/>
    <w:rsid w:val="00693B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7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5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5051">
                      <w:marLeft w:val="14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ller@prenexushealth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fo.prenexushealth.com/2022ContentCampaign2-XOSDifferenceIG-PR_LP-FormFillout.html?%20utm_source=INTERNAL&amp;utm_medium=PR&amp;utm_campaign=XOSDIFFERENCE&amp;utm_term=0722&amp;leadsource=Press-Release&amp;campaignsource=INTERNAL-PR-XOSDIFFERENCE-0722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1AA8345BF784EB7491DAC9A2A82EE" ma:contentTypeVersion="17" ma:contentTypeDescription="Create a new document." ma:contentTypeScope="" ma:versionID="27243036be8fbe0f739f7a44c6282b3a">
  <xsd:schema xmlns:xsd="http://www.w3.org/2001/XMLSchema" xmlns:xs="http://www.w3.org/2001/XMLSchema" xmlns:p="http://schemas.microsoft.com/office/2006/metadata/properties" xmlns:ns2="792fb05a-7bbd-4e72-89df-f0c4f4c3c87e" xmlns:ns3="7995956c-ec19-4e9e-8401-299f7de37891" targetNamespace="http://schemas.microsoft.com/office/2006/metadata/properties" ma:root="true" ma:fieldsID="a68e293866ba41941c8140ddea0ad56d" ns2:_="" ns3:_="">
    <xsd:import namespace="792fb05a-7bbd-4e72-89df-f0c4f4c3c87e"/>
    <xsd:import namespace="7995956c-ec19-4e9e-8401-299f7de378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b05a-7bbd-4e72-89df-f0c4f4c3c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04f2b-a952-443b-9313-42acac2dcd66}" ma:internalName="TaxCatchAll" ma:showField="CatchAllData" ma:web="792fb05a-7bbd-4e72-89df-f0c4f4c3c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5956c-ec19-4e9e-8401-299f7de3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773fea-acc0-46d7-9bdf-de7d2ecd4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C7EA42-A14B-4B77-BFD9-04E699DF5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16572-B960-4B3F-A230-99BA2C99C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b05a-7bbd-4e72-89df-f0c4f4c3c87e"/>
    <ds:schemaRef ds:uri="7995956c-ec19-4e9e-8401-299f7de37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Soref</dc:creator>
  <cp:keywords/>
  <dc:description/>
  <cp:lastModifiedBy>Steve Harman</cp:lastModifiedBy>
  <cp:revision>2</cp:revision>
  <dcterms:created xsi:type="dcterms:W3CDTF">2022-07-11T08:19:00Z</dcterms:created>
  <dcterms:modified xsi:type="dcterms:W3CDTF">2022-07-11T08:19:00Z</dcterms:modified>
</cp:coreProperties>
</file>